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SUBJECT:ENVIRONMENTAL LAW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PRERNA LAMA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16/11/2024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STUDENTS:52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Saha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Tamalika Roy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Subin Kumar Saha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Dola Sarkar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Mousumi Chakraborty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Najrima Parvin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Aminur Rahaman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Jaya Sarkar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Armina Parveen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Utpal Sarkar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Bapan Mandal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Narayan Sutradhar 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Aniket Das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Priyanka Barma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Madan Barman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Suvasree Pramanik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Roy Mandal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Writwika Dey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Upendra Das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Sayantani Barman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Jolly Biswas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Manu Das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Atal Sarkar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Ariful Islam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Akash Saha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Debasis Ghosh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Debapriya Ghosh Kundu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Koushik Dutta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Tanmoy Sarkar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Dipita Banik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Manjurul Islam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Bhowmik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Razzak Hossen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Benazin Rakib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Amrik Roy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Kalyan Adhikari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Prajnasree Sarkar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Bhojraj Kushwaha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Loknath Roy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Tapas Barman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Priyantan Barman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Samir Roy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Roy Pradhan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Prem Harijan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Barman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Saroshi Barman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Saha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Shibani Roy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Suman Roy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Gita Das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Sibshankar Saha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